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E6" w:rsidRDefault="009D38E6" w:rsidP="00D03C0B">
      <w:pPr>
        <w:jc w:val="both"/>
        <w:rPr>
          <w:iCs/>
          <w:color w:val="000000"/>
        </w:rPr>
      </w:pPr>
    </w:p>
    <w:p w:rsidR="0015395D" w:rsidRDefault="0015395D" w:rsidP="009D38E6">
      <w:pPr>
        <w:widowControl/>
        <w:suppressAutoHyphens w:val="0"/>
        <w:autoSpaceDE w:val="0"/>
        <w:autoSpaceDN w:val="0"/>
        <w:adjustRightInd w:val="0"/>
        <w:jc w:val="both"/>
        <w:rPr>
          <w:b/>
          <w:iCs/>
        </w:rPr>
      </w:pPr>
    </w:p>
    <w:p w:rsidR="0015395D" w:rsidRPr="004225C7" w:rsidRDefault="00537C3F" w:rsidP="0015395D">
      <w:pPr>
        <w:jc w:val="right"/>
      </w:pPr>
      <w:r>
        <w:t>Meie: 0</w:t>
      </w:r>
      <w:r w:rsidR="0015395D">
        <w:t>1.1</w:t>
      </w:r>
      <w:r>
        <w:t>2</w:t>
      </w:r>
      <w:bookmarkStart w:id="0" w:name="_GoBack"/>
      <w:bookmarkEnd w:id="0"/>
      <w:r w:rsidR="0015395D">
        <w:t>.2015.a.</w:t>
      </w:r>
      <w:r w:rsidR="0015395D" w:rsidRPr="004225C7">
        <w:t xml:space="preserve"> K-2/</w:t>
      </w:r>
      <w:r w:rsidR="0015395D">
        <w:t>46</w:t>
      </w:r>
    </w:p>
    <w:p w:rsidR="0015395D" w:rsidRDefault="0015395D" w:rsidP="009D38E6">
      <w:pPr>
        <w:widowControl/>
        <w:suppressAutoHyphens w:val="0"/>
        <w:autoSpaceDE w:val="0"/>
        <w:autoSpaceDN w:val="0"/>
        <w:adjustRightInd w:val="0"/>
        <w:jc w:val="both"/>
        <w:rPr>
          <w:b/>
          <w:iCs/>
        </w:rPr>
      </w:pPr>
    </w:p>
    <w:p w:rsidR="0015395D" w:rsidRDefault="0015395D" w:rsidP="009D38E6">
      <w:pPr>
        <w:widowControl/>
        <w:suppressAutoHyphens w:val="0"/>
        <w:autoSpaceDE w:val="0"/>
        <w:autoSpaceDN w:val="0"/>
        <w:adjustRightInd w:val="0"/>
        <w:jc w:val="both"/>
        <w:rPr>
          <w:b/>
        </w:rPr>
      </w:pPr>
      <w:r>
        <w:rPr>
          <w:b/>
          <w:iCs/>
        </w:rPr>
        <w:t>Pöördumine</w:t>
      </w:r>
      <w:r w:rsidR="009D38E6" w:rsidRPr="009D38E6">
        <w:rPr>
          <w:b/>
        </w:rPr>
        <w:t xml:space="preserve"> Euroopa Parlamendi Eesti saadikute</w:t>
      </w:r>
      <w:r>
        <w:rPr>
          <w:b/>
        </w:rPr>
        <w:t>le</w:t>
      </w:r>
      <w:r w:rsidR="009D38E6" w:rsidRPr="009D38E6">
        <w:rPr>
          <w:b/>
        </w:rPr>
        <w:t xml:space="preserve"> </w:t>
      </w:r>
      <w:r>
        <w:rPr>
          <w:b/>
        </w:rPr>
        <w:t xml:space="preserve">- </w:t>
      </w:r>
    </w:p>
    <w:p w:rsidR="00D03C0B" w:rsidRPr="009D38E6" w:rsidRDefault="0015395D" w:rsidP="009D38E6">
      <w:pPr>
        <w:widowControl/>
        <w:suppressAutoHyphens w:val="0"/>
        <w:autoSpaceDE w:val="0"/>
        <w:autoSpaceDN w:val="0"/>
        <w:adjustRightInd w:val="0"/>
        <w:jc w:val="both"/>
        <w:rPr>
          <w:rFonts w:eastAsia="TTE16B13B0t00" w:cs="Times New Roman"/>
          <w:b/>
          <w:kern w:val="0"/>
          <w:lang w:eastAsia="en-US" w:bidi="ar-SA"/>
        </w:rPr>
      </w:pPr>
      <w:r>
        <w:rPr>
          <w:rFonts w:eastAsia="TTE16B13B0t00" w:cs="Times New Roman"/>
          <w:b/>
          <w:kern w:val="0"/>
          <w:lang w:eastAsia="en-US" w:bidi="ar-SA"/>
        </w:rPr>
        <w:t xml:space="preserve">MTÜ Lastekaitse Liit palub allkirjastada </w:t>
      </w:r>
      <w:r w:rsidR="009D38E6" w:rsidRPr="009D38E6">
        <w:rPr>
          <w:rFonts w:eastAsia="TTE16B13B0t00" w:cs="Times New Roman"/>
          <w:b/>
          <w:kern w:val="0"/>
          <w:lang w:eastAsia="en-US" w:bidi="ar-SA"/>
        </w:rPr>
        <w:t>Euroopa Parlamendi kodukorra artikli 136 alusel esitatud kirjalik deklaratsioon</w:t>
      </w:r>
      <w:r>
        <w:rPr>
          <w:rFonts w:eastAsia="TTE16B13B0t00" w:cs="Times New Roman"/>
          <w:b/>
          <w:kern w:val="0"/>
          <w:lang w:eastAsia="en-US" w:bidi="ar-SA"/>
        </w:rPr>
        <w:t xml:space="preserve"> </w:t>
      </w:r>
      <w:r w:rsidR="009D38E6" w:rsidRPr="009D38E6">
        <w:rPr>
          <w:rFonts w:eastAsia="TTE16B13B0t00" w:cs="Times New Roman"/>
          <w:b/>
          <w:kern w:val="0"/>
          <w:lang w:eastAsia="en-US" w:bidi="ar-SA"/>
        </w:rPr>
        <w:t>lastesse investeerimise kohta</w:t>
      </w:r>
      <w:r>
        <w:rPr>
          <w:rFonts w:eastAsia="TTE16B13B0t00" w:cs="Times New Roman"/>
          <w:b/>
          <w:kern w:val="0"/>
          <w:lang w:eastAsia="en-US" w:bidi="ar-SA"/>
        </w:rPr>
        <w:t xml:space="preserve"> </w:t>
      </w:r>
    </w:p>
    <w:p w:rsidR="009D38E6" w:rsidRDefault="009D38E6" w:rsidP="009D38E6">
      <w:pPr>
        <w:jc w:val="both"/>
        <w:rPr>
          <w:rFonts w:ascii="TTE14B4620t00" w:eastAsia="TTE16B13B0t00" w:hAnsi="TTE14B4620t00" w:cs="TTE14B4620t00"/>
          <w:kern w:val="0"/>
          <w:sz w:val="15"/>
          <w:szCs w:val="15"/>
          <w:lang w:eastAsia="en-US" w:bidi="ar-SA"/>
        </w:rPr>
      </w:pPr>
    </w:p>
    <w:p w:rsidR="009D38E6" w:rsidRDefault="009D38E6" w:rsidP="009D38E6">
      <w:pPr>
        <w:jc w:val="both"/>
      </w:pPr>
    </w:p>
    <w:p w:rsidR="009D38E6" w:rsidRDefault="009D38E6" w:rsidP="009D38E6">
      <w:pPr>
        <w:jc w:val="both"/>
        <w:rPr>
          <w:rStyle w:val="Hyperlink"/>
          <w:rFonts w:ascii="EUAlbertina" w:eastAsia="EUAlbertina" w:hAnsi="EUAlbertina" w:cs="EUAlbertina"/>
          <w:color w:val="000000"/>
          <w:u w:val="none"/>
          <w:shd w:val="clear" w:color="auto" w:fill="FFFFFF"/>
        </w:rPr>
      </w:pPr>
      <w:r w:rsidRPr="00D03C0B">
        <w:rPr>
          <w:rStyle w:val="Hyperlink"/>
          <w:rFonts w:eastAsia="EUAlbertina" w:cs="Verdana"/>
          <w:color w:val="000000"/>
          <w:u w:val="none"/>
          <w:shd w:val="clear" w:color="auto" w:fill="FFFFFF"/>
        </w:rPr>
        <w:t>Lapsed on rahvastikurühm, kelle heaolu on keskse tähtsusega nii nende üldise olukorra ja elukvaliteedi seisukohalt kui ka tulevikku tehtava investeeringu kontekstis.</w:t>
      </w:r>
      <w:r w:rsidRPr="00D03C0B">
        <w:rPr>
          <w:rStyle w:val="WW-FootnoteReference"/>
          <w:rFonts w:eastAsia="EUAlbertina" w:cs="Verdana"/>
          <w:color w:val="000000"/>
          <w:shd w:val="clear" w:color="auto" w:fill="FFFFFF"/>
        </w:rPr>
        <w:footnoteReference w:id="1"/>
      </w:r>
      <w:r w:rsidRPr="00D03C0B">
        <w:rPr>
          <w:rStyle w:val="WW-FootnoteReference"/>
          <w:rFonts w:eastAsia="EUAlbertina" w:cs="Verdana"/>
          <w:color w:val="000000"/>
          <w:shd w:val="clear" w:color="auto" w:fill="FFFFFF"/>
        </w:rPr>
        <w:t xml:space="preserve"> </w:t>
      </w:r>
      <w:r w:rsidRPr="00D03C0B">
        <w:rPr>
          <w:rStyle w:val="Hyperlink"/>
          <w:rFonts w:eastAsia="EUAlbertina" w:cs="Verdana"/>
          <w:color w:val="000000"/>
          <w:u w:val="none"/>
          <w:shd w:val="clear" w:color="auto" w:fill="FFFFFF"/>
        </w:rPr>
        <w:t>Nobeli preemia laureaadi J.Heckmani arvutuste kohaselt on inimkapitali tugevdamiseks varases lapsepõlves kulutatud summad tootlikkuselt kaks korda tõhusamad kui hilisemad investeeringud.</w:t>
      </w:r>
      <w:r w:rsidRPr="00D03C0B">
        <w:rPr>
          <w:rStyle w:val="FootnoteCharacters"/>
          <w:rFonts w:eastAsia="EUAlbertina" w:cs="Verdana"/>
          <w:color w:val="000000"/>
          <w:sz w:val="20"/>
          <w:szCs w:val="20"/>
          <w:shd w:val="clear" w:color="auto" w:fill="FFFFFF"/>
        </w:rPr>
        <w:footnoteReference w:id="2"/>
      </w:r>
      <w:r w:rsidRPr="00D03C0B">
        <w:rPr>
          <w:rStyle w:val="Hyperlink"/>
          <w:rFonts w:eastAsia="EUAlbertina" w:cs="Verdana"/>
          <w:color w:val="000000"/>
          <w:u w:val="none"/>
          <w:shd w:val="clear" w:color="auto" w:fill="FFFFFF"/>
        </w:rPr>
        <w:t xml:space="preserve"> </w:t>
      </w:r>
      <w:r w:rsidRPr="00D03C0B">
        <w:rPr>
          <w:rStyle w:val="Hyperlink"/>
          <w:rFonts w:ascii="EUAlbertina" w:eastAsia="EUAlbertina" w:hAnsi="EUAlbertina" w:cs="EUAlbertina"/>
          <w:color w:val="000000"/>
          <w:u w:val="none"/>
          <w:shd w:val="clear" w:color="auto" w:fill="FFFFFF"/>
        </w:rPr>
        <w:t>Samas, laste käsitlemisel „investeeringuna tulevikku” tuleb arvesse võtta õnneliku lapsepõlve käsitlust, kuna nii laste kui ka ühiskonna jaoks on olevik sama oluline kui tulevik, ning seda eriti lapse õigusi silmas pidades.</w:t>
      </w:r>
      <w:r w:rsidRPr="00D03C0B">
        <w:rPr>
          <w:rStyle w:val="Hyperlink"/>
          <w:rFonts w:ascii="EUAlbertina" w:eastAsia="EUAlbertina" w:hAnsi="EUAlbertina" w:cs="EUAlbertina"/>
          <w:color w:val="000000"/>
          <w:sz w:val="16"/>
          <w:szCs w:val="16"/>
          <w:u w:val="none"/>
          <w:shd w:val="clear" w:color="auto" w:fill="FFFFFF"/>
        </w:rPr>
        <w:footnoteReference w:id="3"/>
      </w:r>
      <w:r w:rsidRPr="00D03C0B">
        <w:rPr>
          <w:rStyle w:val="Hyperlink"/>
          <w:rFonts w:ascii="EUAlbertina" w:eastAsia="EUAlbertina" w:hAnsi="EUAlbertina" w:cs="EUAlbertina"/>
          <w:color w:val="000000"/>
          <w:u w:val="none"/>
          <w:shd w:val="clear" w:color="auto" w:fill="FFFFFF"/>
        </w:rPr>
        <w:t xml:space="preserve"> </w:t>
      </w:r>
    </w:p>
    <w:p w:rsidR="009D38E6" w:rsidRDefault="009D38E6" w:rsidP="009D38E6">
      <w:pPr>
        <w:autoSpaceDE w:val="0"/>
        <w:spacing w:before="280" w:after="280" w:line="255" w:lineRule="atLeast"/>
        <w:jc w:val="both"/>
        <w:rPr>
          <w:rFonts w:cs="TimesNewRomanPSMT"/>
          <w:color w:val="000000"/>
        </w:rPr>
      </w:pPr>
      <w:r w:rsidRPr="00D03C0B">
        <w:rPr>
          <w:rStyle w:val="Hyperlink"/>
          <w:rFonts w:eastAsia="EUAlbertina" w:cs="Times New Roman"/>
          <w:color w:val="000000"/>
          <w:u w:val="none"/>
          <w:shd w:val="clear" w:color="auto" w:fill="FFFFFF"/>
        </w:rPr>
        <w:t xml:space="preserve">MTÜ Lastekaitse Liit on seisukohal, et laste vaesuse ja sotsiaalse tõrjutuse ennetamine ja leevendamine on olulised sotsiaalpoliitilised eesmärgid, millega Eesti peab jõulisemalt tegelema. </w:t>
      </w:r>
      <w:r>
        <w:t xml:space="preserve">MTÜ Lastekaitse Liit on antud teemale aastate vältel järjepidevalt tähelepanu juhtinud (koolitoit, toimetulekutoetuse tõstmise vajalikkus, tervistav suvepuhkus, varajane märkamine, diskrimineerimise erinevad vormid, kiusamise ennetamine, tugiisikuteenus, kohustuslik arstlik kontroll jne). </w:t>
      </w:r>
    </w:p>
    <w:p w:rsidR="00D03C0B" w:rsidRDefault="00D03C0B" w:rsidP="00D03C0B">
      <w:pPr>
        <w:jc w:val="both"/>
        <w:rPr>
          <w:rFonts w:cs="Times New Roman"/>
          <w:color w:val="000000"/>
        </w:rPr>
      </w:pPr>
      <w:r>
        <w:rPr>
          <w:rFonts w:cs="Times New Roman"/>
          <w:color w:val="000000"/>
        </w:rPr>
        <w:t>Eesti inimarengu aruande 2012-2013 kohaselt peaks Eesti lähiaastate ülesandeks saama nõrgemate ühiskonnaliikmete järeltoomine, võimestamine, neile positiivse arenguperspektiivi pakkumine. Majanduskasv üksi ei tõsta edaspidi enam elukvaliteeti, kui SKP kasvuga ei kaasne sissetulekute ebavõrdsuse vähenemine ja kui SKP kasv ei paranda leibkondade toimetulekut. Eesti fiskaalpoliitiline edu on vaja viia mikrotasandini – inimeste igapäevaeluni.</w:t>
      </w:r>
      <w:r>
        <w:rPr>
          <w:rStyle w:val="FootnoteReference"/>
          <w:rFonts w:cs="Times New Roman"/>
          <w:color w:val="000000"/>
        </w:rPr>
        <w:footnoteReference w:id="4"/>
      </w:r>
      <w:r>
        <w:rPr>
          <w:rFonts w:cs="Times New Roman"/>
          <w:color w:val="000000"/>
        </w:rPr>
        <w:t xml:space="preserve"> </w:t>
      </w:r>
    </w:p>
    <w:p w:rsidR="00573715" w:rsidRDefault="00573715" w:rsidP="00D03C0B">
      <w:pPr>
        <w:jc w:val="both"/>
      </w:pPr>
    </w:p>
    <w:p w:rsidR="00D03C0B" w:rsidRDefault="00D03C0B" w:rsidP="00D03C0B">
      <w:pPr>
        <w:jc w:val="both"/>
      </w:pPr>
      <w:r w:rsidRPr="00D03C0B">
        <w:rPr>
          <w:rStyle w:val="Hyperlink"/>
          <w:rFonts w:eastAsia="EUAlbertina" w:cs="Calibri"/>
          <w:bCs/>
          <w:color w:val="000000"/>
          <w:u w:val="none"/>
          <w:shd w:val="clear" w:color="auto" w:fill="FFFFFF"/>
          <w:lang w:val="en-US"/>
        </w:rPr>
        <w:t xml:space="preserve">Eesti </w:t>
      </w:r>
      <w:r w:rsidRPr="00D03C0B">
        <w:rPr>
          <w:rStyle w:val="Hyperlink"/>
          <w:rFonts w:eastAsia="EUAlbertina" w:cs="Calibri"/>
          <w:bCs/>
          <w:color w:val="000000"/>
          <w:u w:val="none"/>
          <w:shd w:val="clear" w:color="auto" w:fill="FFFFFF"/>
          <w:lang w:val="fi-FI"/>
        </w:rPr>
        <w:t>inimarengu a</w:t>
      </w:r>
      <w:r w:rsidRPr="00D03C0B">
        <w:rPr>
          <w:rStyle w:val="Hyperlink"/>
          <w:rFonts w:eastAsia="EUAlbertina" w:cs="Verdana"/>
          <w:color w:val="000000"/>
          <w:u w:val="none"/>
          <w:shd w:val="clear" w:color="auto" w:fill="FFFFFF"/>
        </w:rPr>
        <w:t>ruande 2012-2013 kohaselt peituvad Eesti paljude tublide keskmiste näitajate taga ebamõistlikult suured ühiskonnasisesed erinevused – olgu tegemist regionaalsete erisuste, sooliste lõhede või eestlaste ja muulaste vaheliste kääridega.</w:t>
      </w:r>
      <w:r w:rsidRPr="00D03C0B">
        <w:rPr>
          <w:rStyle w:val="WW-FootnoteReference"/>
          <w:rFonts w:eastAsia="EUAlbertina" w:cs="Verdana"/>
          <w:color w:val="000000"/>
          <w:shd w:val="clear" w:color="auto" w:fill="FFFFFF"/>
        </w:rPr>
        <w:footnoteReference w:id="5"/>
      </w:r>
      <w:r w:rsidRPr="00D03C0B">
        <w:rPr>
          <w:rStyle w:val="Hyperlink"/>
          <w:rFonts w:eastAsia="EUAlbertina" w:cs="Verdana"/>
          <w:color w:val="000000"/>
          <w:u w:val="none"/>
          <w:shd w:val="clear" w:color="auto" w:fill="FFFFFF"/>
        </w:rPr>
        <w:t xml:space="preserve"> </w:t>
      </w:r>
      <w:r w:rsidRPr="00D03C0B">
        <w:rPr>
          <w:rStyle w:val="Hyperlink"/>
          <w:rFonts w:eastAsia="EUAlbertina" w:cs="Verdana"/>
          <w:color w:val="000000"/>
          <w:u w:val="none"/>
          <w:shd w:val="clear" w:color="auto" w:fill="FFFFFF"/>
          <w:lang w:val="fi-FI"/>
        </w:rPr>
        <w:t xml:space="preserve">Kannatajaks on ennekõike haavatavamad rühmad sh lapsed. </w:t>
      </w:r>
      <w:r w:rsidRPr="00D03C0B">
        <w:rPr>
          <w:rStyle w:val="Hyperlink"/>
          <w:rFonts w:eastAsia="EUAlbertina" w:cs="TimesNewRomanPSMT"/>
          <w:color w:val="000000"/>
          <w:u w:val="none"/>
          <w:shd w:val="clear" w:color="auto" w:fill="FFFFFF"/>
          <w:lang w:val="fi-FI"/>
        </w:rPr>
        <w:t>Rahvaloenduse andmetel elas 2012. aasta alguses Eestis 246 346 last, kelle osakaal rahvastikus oli veidi üle 18%. Kümne aasta taguse ajaga võrreldes on lapsi ligikaudu 17% vähem.</w:t>
      </w:r>
      <w:r w:rsidRPr="00D03C0B">
        <w:rPr>
          <w:rStyle w:val="FootnoteCharacters"/>
          <w:rFonts w:eastAsia="EUAlbertina" w:cs="TimesNewRomanPSMT"/>
          <w:color w:val="000000"/>
          <w:sz w:val="20"/>
          <w:szCs w:val="20"/>
          <w:shd w:val="clear" w:color="auto" w:fill="FFFFFF"/>
          <w:lang w:val="fi-FI"/>
        </w:rPr>
        <w:footnoteReference w:id="6"/>
      </w:r>
      <w:r w:rsidRPr="00D03C0B">
        <w:rPr>
          <w:rStyle w:val="Hyperlink"/>
          <w:rFonts w:eastAsia="EUAlbertina" w:cs="Verdana"/>
          <w:color w:val="000000"/>
          <w:u w:val="none"/>
          <w:shd w:val="clear" w:color="auto" w:fill="FFFFFF"/>
          <w:lang w:val="fi-FI"/>
        </w:rPr>
        <w:t xml:space="preserve">  Statistika kohaselt ela</w:t>
      </w:r>
      <w:r w:rsidR="009D38E6">
        <w:rPr>
          <w:rStyle w:val="Hyperlink"/>
          <w:rFonts w:eastAsia="EUAlbertina" w:cs="Verdana"/>
          <w:color w:val="000000"/>
          <w:u w:val="none"/>
          <w:shd w:val="clear" w:color="auto" w:fill="FFFFFF"/>
          <w:lang w:val="fi-FI"/>
        </w:rPr>
        <w:t>s 2013</w:t>
      </w:r>
      <w:r w:rsidRPr="00D03C0B">
        <w:rPr>
          <w:rStyle w:val="Hyperlink"/>
          <w:rFonts w:eastAsia="EUAlbertina" w:cs="Verdana"/>
          <w:color w:val="000000"/>
          <w:u w:val="none"/>
          <w:shd w:val="clear" w:color="auto" w:fill="FFFFFF"/>
          <w:lang w:val="fi-FI"/>
        </w:rPr>
        <w:t xml:space="preserve"> ca iga viies laps suhtelises vaesuses, ning</w:t>
      </w:r>
      <w:r w:rsidRPr="00D03C0B">
        <w:rPr>
          <w:rStyle w:val="Hyperlink"/>
          <w:rFonts w:eastAsia="EUAlbertina" w:cs="Verdana"/>
          <w:color w:val="000000"/>
          <w:u w:val="none"/>
          <w:shd w:val="clear" w:color="auto" w:fill="FFFFFF"/>
        </w:rPr>
        <w:t xml:space="preserve"> k</w:t>
      </w:r>
      <w:r w:rsidRPr="00D03C0B">
        <w:rPr>
          <w:rStyle w:val="Hyperlink"/>
          <w:rFonts w:eastAsia="Times New Roman" w:cs="Tahoma"/>
          <w:color w:val="000000"/>
          <w:u w:val="none"/>
          <w:shd w:val="clear" w:color="auto" w:fill="FFFFFF"/>
          <w:lang w:eastAsia="ar-SA" w:bidi="ar-SA"/>
        </w:rPr>
        <w:t xml:space="preserve">ohalike omavalitsuste võrdluses erineb laste suhteline vaesus ligi </w:t>
      </w:r>
      <w:r w:rsidRPr="00D03C0B">
        <w:rPr>
          <w:rStyle w:val="Hyperlink"/>
          <w:rFonts w:eastAsia="Times New Roman" w:cs="Tahoma"/>
          <w:color w:val="000000"/>
          <w:u w:val="none"/>
          <w:shd w:val="clear" w:color="auto" w:fill="FFFFFF"/>
          <w:lang w:eastAsia="ar-SA" w:bidi="ar-SA"/>
        </w:rPr>
        <w:lastRenderedPageBreak/>
        <w:t>kuus ja pool korda (Harjumaa versus piiriäärsed alad Kirde- ja Lõuna-Eestis).</w:t>
      </w:r>
      <w:r w:rsidRPr="00D03C0B">
        <w:rPr>
          <w:rStyle w:val="WW-FootnoteReference"/>
          <w:rFonts w:eastAsia="Times New Roman" w:cs="Tahoma"/>
          <w:color w:val="000000"/>
          <w:shd w:val="clear" w:color="auto" w:fill="FFFFFF"/>
          <w:lang w:eastAsia="ar-SA" w:bidi="ar-SA"/>
        </w:rPr>
        <w:footnoteReference w:id="7"/>
      </w:r>
      <w:r w:rsidRPr="00D03C0B">
        <w:rPr>
          <w:rStyle w:val="Hyperlink"/>
          <w:rFonts w:eastAsia="Times New Roman" w:cs="Tahoma"/>
          <w:color w:val="000000"/>
          <w:u w:val="none"/>
          <w:shd w:val="clear" w:color="auto" w:fill="FFFFFF"/>
          <w:lang w:eastAsia="ar-SA" w:bidi="ar-SA"/>
        </w:rPr>
        <w:t xml:space="preserve"> </w:t>
      </w:r>
      <w:r w:rsidRPr="00D03C0B">
        <w:rPr>
          <w:rStyle w:val="Hyperlink"/>
          <w:rFonts w:eastAsia="EUAlbertina" w:cs="Verdana"/>
          <w:color w:val="000000"/>
          <w:u w:val="none"/>
          <w:shd w:val="clear" w:color="auto" w:fill="FFFFFF"/>
        </w:rPr>
        <w:t>M</w:t>
      </w:r>
      <w:r w:rsidRPr="00D03C0B">
        <w:rPr>
          <w:rStyle w:val="Hyperlink"/>
          <w:rFonts w:eastAsia="EUAlbertina" w:cs="Times New Roman"/>
          <w:color w:val="000000"/>
          <w:u w:val="none"/>
          <w:shd w:val="clear" w:color="auto" w:fill="FFFFFF"/>
        </w:rPr>
        <w:t>ajandussurutis koos tööpuuduse kasvu ja rahvastiku vaesustumisega on vähendanud laste võimalusi tegeleda huvitegevusega.</w:t>
      </w:r>
      <w:r w:rsidRPr="00D03C0B">
        <w:rPr>
          <w:rStyle w:val="WW-FootnoteReference"/>
          <w:rFonts w:eastAsia="EUAlbertina" w:cs="Times New Roman"/>
          <w:color w:val="000000"/>
          <w:shd w:val="clear" w:color="auto" w:fill="FFFFFF"/>
        </w:rPr>
        <w:footnoteReference w:id="8"/>
      </w:r>
      <w:r w:rsidRPr="00D03C0B">
        <w:rPr>
          <w:rStyle w:val="Hyperlink"/>
          <w:rFonts w:eastAsia="EUAlbertina" w:cs="Times New Roman"/>
          <w:color w:val="000000"/>
          <w:u w:val="none"/>
          <w:shd w:val="clear" w:color="auto" w:fill="FFFFFF"/>
        </w:rPr>
        <w:t xml:space="preserve"> Uuringud näitavad, et t</w:t>
      </w:r>
      <w:r w:rsidRPr="00D03C0B">
        <w:rPr>
          <w:rStyle w:val="Hyperlink"/>
          <w:rFonts w:cs="Times New Roman"/>
          <w:color w:val="000000"/>
          <w:u w:val="none"/>
        </w:rPr>
        <w:t>urupõhimõtetel toimiv koolivalik taastoodab nn heade ja mitte nii heade koolide fenomeni, koondades lapsi vanemate taustakarakteristikute ja nende registreeritud aadressi ning ettekoolitamise alusel</w:t>
      </w:r>
      <w:r w:rsidRPr="00D03C0B">
        <w:rPr>
          <w:rStyle w:val="WW-FootnoteReference"/>
          <w:rFonts w:cs="Times New Roman"/>
          <w:color w:val="000000"/>
        </w:rPr>
        <w:footnoteReference w:id="9"/>
      </w:r>
      <w:r w:rsidRPr="00D03C0B">
        <w:rPr>
          <w:rStyle w:val="Hyperlink"/>
          <w:rFonts w:cs="Times New Roman"/>
          <w:color w:val="000000"/>
          <w:u w:val="none"/>
        </w:rPr>
        <w:t xml:space="preserve">, ning </w:t>
      </w:r>
      <w:r w:rsidRPr="00D03C0B">
        <w:rPr>
          <w:rFonts w:cs="Times New Roman"/>
          <w:color w:val="000000"/>
        </w:rPr>
        <w:t>vene õppekeelega koolide õpilaste</w:t>
      </w:r>
      <w:r>
        <w:rPr>
          <w:rFonts w:cs="Times New Roman"/>
          <w:color w:val="000000"/>
        </w:rPr>
        <w:t xml:space="preserve"> nõrgemad õpitulemused on osaliselt tingitud venekeelsete koolide õpilaste madalamast sotsiaalsest taustast</w:t>
      </w:r>
      <w:r w:rsidRPr="00573715">
        <w:rPr>
          <w:rFonts w:cs="Times New Roman"/>
          <w:color w:val="000000"/>
        </w:rPr>
        <w:t>.</w:t>
      </w:r>
      <w:r w:rsidRPr="00573715">
        <w:rPr>
          <w:rStyle w:val="WW-FootnoteReference"/>
          <w:rFonts w:cs="Times New Roman"/>
          <w:color w:val="000000"/>
        </w:rPr>
        <w:footnoteReference w:id="10"/>
      </w:r>
      <w:r w:rsidRPr="00573715">
        <w:rPr>
          <w:rStyle w:val="Hyperlink"/>
          <w:rFonts w:eastAsia="EUAlbertina" w:cs="Calibri"/>
          <w:bCs/>
          <w:color w:val="000000"/>
          <w:u w:val="none"/>
          <w:shd w:val="clear" w:color="auto" w:fill="FFFFFF"/>
          <w:lang w:val="en-US"/>
        </w:rPr>
        <w:t xml:space="preserve"> </w:t>
      </w:r>
      <w:r w:rsidRPr="00573715">
        <w:rPr>
          <w:rStyle w:val="Hyperlink"/>
          <w:rFonts w:eastAsia="EUAlbertina" w:cs="EUAlbertina"/>
          <w:color w:val="000000"/>
          <w:u w:val="none"/>
          <w:shd w:val="clear" w:color="auto" w:fill="FFFFFF"/>
          <w:lang w:val="en-US"/>
        </w:rPr>
        <w:t>Laste vaesus, diskrimineerimine ja tõrjutus on aga ühed kõige tõsisemad takistused lapse õiguste jõustamisel</w:t>
      </w:r>
      <w:r>
        <w:rPr>
          <w:rStyle w:val="Hyperlink"/>
          <w:rFonts w:eastAsia="TimesNewRomanPSMT" w:cs="TimesNewRomanPSMT"/>
          <w:color w:val="000000"/>
          <w:sz w:val="16"/>
          <w:szCs w:val="16"/>
          <w:shd w:val="clear" w:color="auto" w:fill="FFFFFF"/>
          <w:lang w:val="en-US"/>
        </w:rPr>
        <w:t>.</w:t>
      </w:r>
      <w:r>
        <w:rPr>
          <w:rStyle w:val="FootnoteCharacters"/>
          <w:rFonts w:eastAsia="TimesNewRomanPSMT" w:cs="TimesNewRomanPSMT"/>
          <w:color w:val="000000"/>
          <w:sz w:val="20"/>
          <w:szCs w:val="20"/>
          <w:shd w:val="clear" w:color="auto" w:fill="FFFFFF"/>
          <w:lang w:val="en-US" w:eastAsia="ar-SA" w:bidi="ar-SA"/>
        </w:rPr>
        <w:footnoteReference w:id="11"/>
      </w:r>
      <w:r>
        <w:rPr>
          <w:rStyle w:val="FootnoteCharacters"/>
          <w:rFonts w:eastAsia="TimesNewRomanPSMT" w:cs="TimesNewRomanPSMT"/>
          <w:color w:val="000000"/>
          <w:sz w:val="20"/>
          <w:szCs w:val="20"/>
          <w:shd w:val="clear" w:color="auto" w:fill="FFFFFF"/>
          <w:lang w:val="en-US" w:eastAsia="ar-SA" w:bidi="ar-SA"/>
        </w:rPr>
        <w:t xml:space="preserve"> </w:t>
      </w:r>
    </w:p>
    <w:p w:rsidR="00D03C0B" w:rsidRDefault="00D03C0B" w:rsidP="00D03C0B">
      <w:pPr>
        <w:jc w:val="both"/>
      </w:pPr>
    </w:p>
    <w:p w:rsidR="00D03C0B" w:rsidRDefault="00D03C0B" w:rsidP="00D03C0B">
      <w:pPr>
        <w:jc w:val="both"/>
        <w:rPr>
          <w:rStyle w:val="Hyperlink"/>
          <w:rFonts w:eastAsia="EUAlbertina" w:cs="Calibri"/>
          <w:bCs/>
          <w:color w:val="000000"/>
          <w:lang w:val="fi-FI"/>
        </w:rPr>
      </w:pPr>
      <w:r>
        <w:rPr>
          <w:rFonts w:cs="Times New Roman"/>
          <w:color w:val="000000"/>
          <w:lang w:val="fi-FI"/>
        </w:rPr>
        <w:t xml:space="preserve">Erinevatest uuringutest selgub, et Eestis puudub paljudel omavalitsustel eelarveline võimekus koondamaks piisavalt kompetentsi, et pakkuda kvaliteetseid avalikke teenuseid. </w:t>
      </w:r>
      <w:r>
        <w:rPr>
          <w:rFonts w:cs="Times New Roman"/>
          <w:color w:val="000000"/>
        </w:rPr>
        <w:t xml:space="preserve">Teenuste sisu, kvaliteet ja teenuse jõudmine abivajajani sõltub mh millised on omavalitsuse majanduslikud võimalused. See omakorda sõltub sellest, kui oluliseks erinevaid sotsiaalprobleeme omavalitsuse juhtkonnas peetakse, võrreldes teiste omavalitsuse vastutusvaldkondadega. Eelkõige piiravad rahalised võimalused aga teenuste arendamist ja uute, omavalitsuses mitte pakutavate teenuste väljatöötamist. Samuti on probleemiks vähene koostöö erinevate omavalitsuste vahel. Kannatajaks aga on just haavatavamad rühmad sh lapsed. </w:t>
      </w:r>
      <w:r>
        <w:rPr>
          <w:rFonts w:cs="Times New Roman"/>
          <w:color w:val="000000"/>
          <w:lang w:val="fi-FI"/>
        </w:rPr>
        <w:t xml:space="preserve">Samas on </w:t>
      </w:r>
      <w:r>
        <w:rPr>
          <w:rFonts w:cs="Times New Roman"/>
          <w:iCs/>
          <w:color w:val="000000"/>
        </w:rPr>
        <w:t>igal lapsel õigus mitmekülgsele arengule, olenemata millises piirkonnas ta Eestis elab, või milline on tema pere majanduslik olukord. Riik on kohustatud selle õiguse tagama, vastavalt 1991. aastal ratifitseeritud ÜRO Lapse õiguste konventsioonile</w:t>
      </w:r>
      <w:r>
        <w:rPr>
          <w:rStyle w:val="FootnoteReference"/>
          <w:rFonts w:cs="Times New Roman"/>
          <w:iCs/>
          <w:color w:val="000000"/>
        </w:rPr>
        <w:footnoteReference w:id="12"/>
      </w:r>
      <w:r>
        <w:rPr>
          <w:rFonts w:cs="Times New Roman"/>
          <w:color w:val="000000"/>
        </w:rPr>
        <w:t>. Põhiseaduse § 28 alusel on lubamatu, et lapse sotsiaalsete põhiõiguste tagatus riigi eri piirkondades nii olulisel määral varieerub</w:t>
      </w:r>
      <w:r>
        <w:rPr>
          <w:rFonts w:cs="Times New Roman"/>
          <w:color w:val="000000"/>
          <w:sz w:val="20"/>
          <w:szCs w:val="20"/>
        </w:rPr>
        <w:t>.</w:t>
      </w:r>
      <w:r>
        <w:rPr>
          <w:rFonts w:cs="Times New Roman"/>
          <w:color w:val="000000"/>
        </w:rPr>
        <w:t xml:space="preserve"> Ka Riigikohus on oma 16. märtsi 2010.a lahendi nr 3-4-1-8-09 punktis 67 rõhutanud: „</w:t>
      </w:r>
      <w:r>
        <w:rPr>
          <w:rFonts w:cs="Times New Roman"/>
          <w:i/>
          <w:iCs/>
          <w:color w:val="000000"/>
        </w:rPr>
        <w:t>Nii näiteks ei ole PS § 28 mõtte kohaselt aktsepteeritav olukord, kus peamiste sotsiaalsete põhiõiguste tagatus on osas, milles selle eest vastutab kohalik omavalitsus, riigi erinevates piirkondades olulisel määral varieeruv</w:t>
      </w:r>
      <w:r>
        <w:rPr>
          <w:rFonts w:cs="Times New Roman"/>
          <w:color w:val="000000"/>
        </w:rPr>
        <w:t xml:space="preserve"> /…/.“ </w:t>
      </w:r>
      <w:r>
        <w:rPr>
          <w:rFonts w:cs="Times New Roman"/>
          <w:color w:val="000000"/>
          <w:lang w:val="fi-FI"/>
        </w:rPr>
        <w:t xml:space="preserve">Üleriigilise planeeringu „Eesti 2030+“ kohaselt on elamisvõimalused vaja tagada Eesti igas asustatud paigas. Seega on vaja toetada kõikides piirkondades osutatavate teenuste kvaliteedi ja mitmekesisuse suurendamist. </w:t>
      </w:r>
    </w:p>
    <w:p w:rsidR="00D03C0B" w:rsidRDefault="00D03C0B" w:rsidP="00D03C0B">
      <w:pPr>
        <w:autoSpaceDE w:val="0"/>
        <w:spacing w:before="280" w:after="280" w:line="255" w:lineRule="atLeast"/>
        <w:jc w:val="both"/>
        <w:rPr>
          <w:rFonts w:cs="Times New Roman"/>
          <w:color w:val="000000"/>
        </w:rPr>
      </w:pPr>
      <w:r>
        <w:rPr>
          <w:rFonts w:cs="TimesNewRomanPSMT"/>
          <w:color w:val="000000"/>
        </w:rPr>
        <w:t>Lapse õiguste konventsiooni järgi on igal lapsel õigus adekvaatsele elustandardile</w:t>
      </w:r>
      <w:r w:rsidRPr="009D38E6">
        <w:rPr>
          <w:rFonts w:cs="TimesNewRomanPSMT"/>
        </w:rPr>
        <w:t>.</w:t>
      </w:r>
      <w:r w:rsidRPr="009D38E6">
        <w:rPr>
          <w:rStyle w:val="FootnoteReference"/>
          <w:rFonts w:cs="TimesNewRomanPSMT"/>
        </w:rPr>
        <w:footnoteReference w:id="13"/>
      </w:r>
      <w:r w:rsidRPr="009D38E6">
        <w:rPr>
          <w:rFonts w:cs="TimesNewRomanPSMT"/>
        </w:rPr>
        <w:t xml:space="preserve"> </w:t>
      </w:r>
      <w:r w:rsidRPr="009D38E6">
        <w:rPr>
          <w:rStyle w:val="Hyperlink"/>
          <w:rFonts w:eastAsia="EUAlbertina" w:cs="Times New Roman"/>
          <w:color w:val="auto"/>
          <w:u w:val="none"/>
          <w:shd w:val="clear" w:color="auto" w:fill="FFFFFF"/>
        </w:rPr>
        <w:t xml:space="preserve">Laste vaesus ja sotsiaalne tõrjutus </w:t>
      </w:r>
      <w:r w:rsidRPr="009D38E6">
        <w:rPr>
          <w:rStyle w:val="Hyperlink"/>
          <w:rFonts w:eastAsia="CharterBT-Roman" w:cs="Times New Roman"/>
          <w:bCs/>
          <w:iCs/>
          <w:color w:val="auto"/>
          <w:u w:val="none"/>
          <w:shd w:val="clear" w:color="auto" w:fill="FFFFFF"/>
          <w:lang w:val="fi-FI"/>
        </w:rPr>
        <w:t xml:space="preserve">on üks peamistest Euroopa Liidu väljakutsetest, seega on </w:t>
      </w:r>
      <w:r w:rsidRPr="009D38E6">
        <w:rPr>
          <w:rFonts w:cs="Times New Roman"/>
        </w:rPr>
        <w:t xml:space="preserve">Euroopa Komisjoni andnud soovituse (20.2.2013) </w:t>
      </w:r>
      <w:r w:rsidRPr="009D38E6">
        <w:rPr>
          <w:rFonts w:cs="Times New Roman"/>
          <w:i/>
          <w:iCs/>
        </w:rPr>
        <w:t>Investeerides lastesse aitame neil välja rabeleda ebasoodsate olude ringist.</w:t>
      </w:r>
      <w:r w:rsidRPr="002821F3">
        <w:rPr>
          <w:rFonts w:cs="Times New Roman"/>
          <w:i/>
          <w:iCs/>
          <w:color w:val="222222"/>
        </w:rPr>
        <w:t xml:space="preserve"> </w:t>
      </w:r>
      <w:r w:rsidRPr="002821F3">
        <w:rPr>
          <w:rFonts w:cs="Times New Roman"/>
          <w:color w:val="000000"/>
        </w:rPr>
        <w:t>Märtsis</w:t>
      </w:r>
      <w:r>
        <w:rPr>
          <w:rFonts w:cs="Times New Roman"/>
          <w:color w:val="000000"/>
        </w:rPr>
        <w:t xml:space="preserve"> 2013 Eestit külastanud Euroopa Nõukogu inimõigustevolinik Nils Muižnieks rõhutas, et laste vaesus vajab Eestis rohkem tähelepanu, ning aeg on tõsta sotsiaalkaitse taset, pöörates erilist tähelepanu kõige haavatavamatele (sh. lapsed, lasterikkad pered).</w:t>
      </w:r>
    </w:p>
    <w:p w:rsidR="00D03C0B" w:rsidRDefault="00D03C0B" w:rsidP="00D03C0B">
      <w:pPr>
        <w:jc w:val="both"/>
      </w:pPr>
      <w:r>
        <w:rPr>
          <w:color w:val="000000"/>
        </w:rPr>
        <w:lastRenderedPageBreak/>
        <w:t xml:space="preserve">EAPN (European Anti Poverty Network) </w:t>
      </w:r>
      <w:r w:rsidRPr="00D03C0B">
        <w:t xml:space="preserve">iseseisva ekspertgrupi poolt avaldati 2013 aastal raport </w:t>
      </w:r>
      <w:r w:rsidRPr="00D03C0B">
        <w:rPr>
          <w:i/>
          <w:iCs/>
        </w:rPr>
        <w:t>Investing in children: breaking the cycle of disadvantages</w:t>
      </w:r>
      <w:r>
        <w:rPr>
          <w:color w:val="000000"/>
        </w:rPr>
        <w:t xml:space="preserve">, mis käsitleb eelnimetatud Euroopa Komisjoni soovituste analüüsi, mille kohaselt on Eestil: 1) vaja muuta sotsiaaltoetuste süsteem efektiivsemaks ja peretoetuste süsteem harmoniseerida ning muuta paindlikumaks, et parandada võimalusi pere- ja tööelu ühildamiseks; 2) </w:t>
      </w:r>
      <w:r w:rsidRPr="002821F3">
        <w:rPr>
          <w:color w:val="000000"/>
        </w:rPr>
        <w:t>rakendadamaks</w:t>
      </w:r>
      <w:r>
        <w:rPr>
          <w:color w:val="000000"/>
        </w:rPr>
        <w:t xml:space="preserve"> paremini lapse – ja perepoliitikat, vaja suurendada efektiivsemat järelvalvet KOV´ides; 3) perede tugiteenuste arendamiseks vaja välja töötada veelgi spetsiifilisemad meetmed, uuesti määratleda riigi ja kohaliku omavalitsuste kohustused ja reorganiseerida rahastussüsteem, et parandada nende teenuste kvaliteeti ja kättesaadavust, mis peavad olema tagatud seaduse kohaselt.</w:t>
      </w:r>
    </w:p>
    <w:p w:rsidR="00D03C0B" w:rsidRDefault="00D03C0B" w:rsidP="00D03C0B">
      <w:pPr>
        <w:autoSpaceDE w:val="0"/>
        <w:spacing w:before="280" w:after="280" w:line="255" w:lineRule="atLeast"/>
        <w:jc w:val="both"/>
        <w:rPr>
          <w:rFonts w:cs="Times New Roman"/>
          <w:color w:val="000000"/>
          <w:lang w:val="fi-FI"/>
        </w:rPr>
      </w:pPr>
      <w:r>
        <w:rPr>
          <w:rFonts w:cs="TimesNewRomanPSMT"/>
        </w:rPr>
        <w:t>ÜRO lapse õiguste konventsiooniga</w:t>
      </w:r>
      <w:r>
        <w:rPr>
          <w:rStyle w:val="FootnoteReference"/>
          <w:rFonts w:cs="TimesNewRomanPSMT"/>
        </w:rPr>
        <w:footnoteReference w:id="14"/>
      </w:r>
      <w:r>
        <w:rPr>
          <w:rFonts w:cs="TimesNewRomanPSMT"/>
        </w:rPr>
        <w:t xml:space="preserve"> 1991 aastal ühinenuna on Eesti kohustunud tagama lapse õigused ja rakendama selleks vajalikke meetmeid,</w:t>
      </w:r>
      <w:r>
        <w:t xml:space="preserve"> kuid </w:t>
      </w:r>
      <w:r>
        <w:rPr>
          <w:rFonts w:cs="TimesNewRomanPSMT"/>
          <w:iCs/>
        </w:rPr>
        <w:t xml:space="preserve">lapse kui täieõigusliku ühiskonnaliikme väärtustamine nõuab jätkuvalt selgesuunalist, järjepidevat ja poliitikaülest arendamist. </w:t>
      </w:r>
      <w:r>
        <w:t xml:space="preserve">Euroopa Liidu lepingu artikli 3 lõikes 3 nõutakse selgesõnaliselt, et Euroopa Liit peab edendama lapse õiguste kaitset, sama toetab ka Euroopa Liidu Põhiõiguste Harta. </w:t>
      </w:r>
      <w:r>
        <w:rPr>
          <w:rFonts w:eastAsia="Garamond"/>
        </w:rPr>
        <w:t xml:space="preserve">Lapse õigustest lähtumine ja edendamine peab olema seotud meetmetega, mis on suunatud laste põhivajaduste rahuldamisele ja heaolu tagamisele. </w:t>
      </w:r>
      <w:r>
        <w:t xml:space="preserve">Lapse õiguste konventsioon rõhutab vanemate kõrval riigi rolli lapse õiguste kaitsmisel ja arenguks vajalike tingimuste loomisel. </w:t>
      </w:r>
      <w:r>
        <w:rPr>
          <w:rFonts w:cs="Times New Roman"/>
          <w:color w:val="000000"/>
        </w:rPr>
        <w:t>MTÜ Lastekaitse Liit on seisukohal, et lisaks valdkondlikule koostööle on vajalik ka riigi ja kohaliku omavalitsuse ühine arusaam lapse õiguste terviklikkusest, ning sotsiaalkaitse taseme tõus, eriti arvestades asjaolu, et teenuste sisu, kvaliteet ja teenuse jõudmine abivajajani sõltub muuhulgas sellest, milline on omavalitsuse haldussuutlikkus</w:t>
      </w:r>
      <w:r>
        <w:rPr>
          <w:rFonts w:cs="Times New Roman"/>
          <w:color w:val="000000"/>
          <w:lang w:val="fi-FI"/>
        </w:rPr>
        <w:t>.</w:t>
      </w:r>
    </w:p>
    <w:p w:rsidR="009D38E6" w:rsidRPr="0021387C" w:rsidRDefault="0021387C" w:rsidP="0021387C">
      <w:pPr>
        <w:widowControl/>
        <w:suppressAutoHyphens w:val="0"/>
        <w:autoSpaceDE w:val="0"/>
        <w:autoSpaceDN w:val="0"/>
        <w:adjustRightInd w:val="0"/>
        <w:jc w:val="both"/>
        <w:rPr>
          <w:rFonts w:eastAsiaTheme="minorHAnsi" w:cs="Times New Roman"/>
          <w:kern w:val="0"/>
          <w:lang w:eastAsia="en-US" w:bidi="ar-SA"/>
        </w:rPr>
      </w:pPr>
      <w:r w:rsidRPr="0021387C">
        <w:rPr>
          <w:rFonts w:eastAsiaTheme="minorHAnsi" w:cs="Times New Roman"/>
          <w:kern w:val="0"/>
          <w:lang w:eastAsia="en-US" w:bidi="ar-SA"/>
        </w:rPr>
        <w:t>Euroopa Liidu tasandil on oluline, et liikmesriigid võtaksid</w:t>
      </w:r>
      <w:r w:rsidR="001E2A61" w:rsidRPr="0021387C">
        <w:rPr>
          <w:rFonts w:eastAsiaTheme="minorHAnsi" w:cs="Times New Roman"/>
          <w:kern w:val="0"/>
          <w:lang w:eastAsia="en-US" w:bidi="ar-SA"/>
        </w:rPr>
        <w:t xml:space="preserve"> kasutusele konkreetsed</w:t>
      </w:r>
      <w:r w:rsidRPr="0021387C">
        <w:rPr>
          <w:rFonts w:eastAsiaTheme="minorHAnsi" w:cs="Times New Roman"/>
          <w:kern w:val="0"/>
          <w:lang w:eastAsia="en-US" w:bidi="ar-SA"/>
        </w:rPr>
        <w:t xml:space="preserve"> riiklikud (all)eesmärgid laste </w:t>
      </w:r>
      <w:r w:rsidR="001E2A61" w:rsidRPr="0021387C">
        <w:rPr>
          <w:rFonts w:eastAsiaTheme="minorHAnsi" w:cs="Times New Roman"/>
          <w:kern w:val="0"/>
          <w:lang w:eastAsia="en-US" w:bidi="ar-SA"/>
        </w:rPr>
        <w:t>vaesuse ja sotsiaalse tõrjutuse vähendamiseks, eesm</w:t>
      </w:r>
      <w:r w:rsidRPr="0021387C">
        <w:rPr>
          <w:rFonts w:eastAsiaTheme="minorHAnsi" w:cs="Times New Roman"/>
          <w:kern w:val="0"/>
          <w:lang w:eastAsia="en-US" w:bidi="ar-SA"/>
        </w:rPr>
        <w:t xml:space="preserve">ärgiga aidata kaasa strateegias </w:t>
      </w:r>
      <w:r w:rsidR="001E2A61" w:rsidRPr="0021387C">
        <w:rPr>
          <w:rFonts w:eastAsiaTheme="minorHAnsi" w:cs="Times New Roman"/>
          <w:kern w:val="0"/>
          <w:lang w:eastAsia="en-US" w:bidi="ar-SA"/>
        </w:rPr>
        <w:t>„Euroopa 2020” seatud vaesuse vähendamise eesmärgi saavutamisele.</w:t>
      </w:r>
    </w:p>
    <w:p w:rsidR="0021387C" w:rsidRDefault="0021387C" w:rsidP="0021387C">
      <w:pPr>
        <w:widowControl/>
        <w:suppressAutoHyphens w:val="0"/>
        <w:autoSpaceDE w:val="0"/>
        <w:autoSpaceDN w:val="0"/>
        <w:adjustRightInd w:val="0"/>
        <w:jc w:val="both"/>
        <w:rPr>
          <w:rStyle w:val="Hyperlink"/>
          <w:rFonts w:eastAsia="EUAlbertina" w:cs="Verdana"/>
          <w:color w:val="000000"/>
          <w:shd w:val="clear" w:color="auto" w:fill="FFFFFF"/>
        </w:rPr>
      </w:pPr>
    </w:p>
    <w:p w:rsidR="0021387C" w:rsidRPr="0021387C" w:rsidRDefault="0021387C" w:rsidP="0021387C">
      <w:pPr>
        <w:widowControl/>
        <w:suppressAutoHyphens w:val="0"/>
        <w:autoSpaceDE w:val="0"/>
        <w:autoSpaceDN w:val="0"/>
        <w:adjustRightInd w:val="0"/>
        <w:jc w:val="both"/>
        <w:rPr>
          <w:rFonts w:eastAsia="TTE16B13B0t00" w:cs="Times New Roman"/>
          <w:b/>
          <w:kern w:val="0"/>
          <w:lang w:eastAsia="en-US" w:bidi="ar-SA"/>
        </w:rPr>
      </w:pPr>
      <w:r>
        <w:rPr>
          <w:rStyle w:val="Hyperlink"/>
          <w:rFonts w:eastAsia="EUAlbertina" w:cs="Verdana"/>
          <w:b/>
          <w:color w:val="000000"/>
          <w:u w:val="none"/>
          <w:shd w:val="clear" w:color="auto" w:fill="FFFFFF"/>
        </w:rPr>
        <w:t>P</w:t>
      </w:r>
      <w:r w:rsidRPr="0021387C">
        <w:rPr>
          <w:rStyle w:val="Hyperlink"/>
          <w:rFonts w:eastAsia="EUAlbertina" w:cs="Verdana"/>
          <w:b/>
          <w:color w:val="000000"/>
          <w:u w:val="none"/>
          <w:shd w:val="clear" w:color="auto" w:fill="FFFFFF"/>
        </w:rPr>
        <w:t xml:space="preserve">alume Teil </w:t>
      </w:r>
      <w:r w:rsidR="0015395D">
        <w:rPr>
          <w:rStyle w:val="Hyperlink"/>
          <w:rFonts w:eastAsia="EUAlbertina" w:cs="Verdana"/>
          <w:b/>
          <w:color w:val="000000"/>
          <w:u w:val="none"/>
          <w:shd w:val="clear" w:color="auto" w:fill="FFFFFF"/>
        </w:rPr>
        <w:t xml:space="preserve">hiljemalt 06.12.2015 </w:t>
      </w:r>
      <w:r w:rsidRPr="0021387C">
        <w:rPr>
          <w:rStyle w:val="Hyperlink"/>
          <w:rFonts w:eastAsia="EUAlbertina" w:cs="Verdana"/>
          <w:b/>
          <w:color w:val="000000"/>
          <w:u w:val="none"/>
          <w:shd w:val="clear" w:color="auto" w:fill="FFFFFF"/>
        </w:rPr>
        <w:t xml:space="preserve">allkirjastada </w:t>
      </w:r>
      <w:r w:rsidRPr="0021387C">
        <w:rPr>
          <w:rFonts w:eastAsia="TTE16B13B0t00" w:cs="Times New Roman"/>
          <w:b/>
          <w:kern w:val="0"/>
          <w:lang w:eastAsia="en-US" w:bidi="ar-SA"/>
        </w:rPr>
        <w:t>Euroopa Parlamendi kodukorra artikli 136 alusel esitatud kirjalik deklaratsioon lastesse investeerimise kohta.</w:t>
      </w:r>
    </w:p>
    <w:p w:rsidR="0021387C" w:rsidRDefault="0021387C" w:rsidP="00D03C0B">
      <w:pPr>
        <w:rPr>
          <w:rStyle w:val="Hyperlink"/>
          <w:rFonts w:eastAsia="EUAlbertina" w:cs="Verdana"/>
          <w:color w:val="000000"/>
          <w:u w:val="none"/>
          <w:shd w:val="clear" w:color="auto" w:fill="FFFFFF"/>
        </w:rPr>
      </w:pPr>
    </w:p>
    <w:p w:rsidR="0021387C" w:rsidRDefault="0021387C" w:rsidP="00D03C0B"/>
    <w:p w:rsidR="0021387C" w:rsidRDefault="0021387C" w:rsidP="00D03C0B"/>
    <w:p w:rsidR="00D03C0B" w:rsidRDefault="00D03C0B" w:rsidP="00D03C0B">
      <w:pPr>
        <w:rPr>
          <w:lang w:val="fi-FI"/>
        </w:rPr>
      </w:pPr>
      <w:r>
        <w:t>Igakülgsele koostööle lootma jäädes.</w:t>
      </w:r>
    </w:p>
    <w:p w:rsidR="00D03C0B" w:rsidRDefault="00D03C0B" w:rsidP="00D03C0B">
      <w:pPr>
        <w:spacing w:before="100" w:after="100"/>
        <w:ind w:right="-5"/>
        <w:jc w:val="both"/>
        <w:rPr>
          <w:lang w:val="fi-FI"/>
        </w:rPr>
      </w:pPr>
    </w:p>
    <w:p w:rsidR="0015395D" w:rsidRDefault="0015395D" w:rsidP="00D03C0B">
      <w:pPr>
        <w:spacing w:before="100" w:after="100"/>
        <w:ind w:right="-5"/>
        <w:jc w:val="both"/>
      </w:pPr>
    </w:p>
    <w:p w:rsidR="00D03C0B" w:rsidRDefault="00D03C0B" w:rsidP="00D03C0B">
      <w:pPr>
        <w:spacing w:before="100" w:after="100"/>
        <w:ind w:right="-5"/>
        <w:jc w:val="both"/>
      </w:pPr>
      <w:r>
        <w:t xml:space="preserve">Lugupidamisega, </w:t>
      </w:r>
    </w:p>
    <w:p w:rsidR="0021387C" w:rsidRDefault="0021387C" w:rsidP="00D03C0B">
      <w:pPr>
        <w:spacing w:before="100" w:after="100"/>
        <w:ind w:right="-5"/>
        <w:jc w:val="both"/>
      </w:pPr>
      <w:r>
        <w:t>Martin Medar</w:t>
      </w:r>
    </w:p>
    <w:p w:rsidR="0021387C" w:rsidRDefault="0021387C" w:rsidP="00D03C0B">
      <w:pPr>
        <w:spacing w:before="100" w:after="100"/>
        <w:ind w:right="-5"/>
        <w:jc w:val="both"/>
      </w:pPr>
      <w:r>
        <w:t>MTÜ Lastekaitse Liit juhataja</w:t>
      </w:r>
    </w:p>
    <w:p w:rsidR="0021387C" w:rsidRDefault="0021387C" w:rsidP="00D03C0B">
      <w:pPr>
        <w:spacing w:before="100" w:after="100"/>
        <w:ind w:right="-5"/>
        <w:jc w:val="both"/>
      </w:pPr>
    </w:p>
    <w:p w:rsidR="009D38E6" w:rsidRDefault="009D38E6" w:rsidP="00D03C0B">
      <w:pPr>
        <w:spacing w:before="100" w:after="100"/>
        <w:ind w:right="-5"/>
        <w:jc w:val="both"/>
      </w:pPr>
    </w:p>
    <w:p w:rsidR="009D38E6" w:rsidRDefault="009D38E6" w:rsidP="00D03C0B">
      <w:pPr>
        <w:spacing w:before="100" w:after="100"/>
        <w:ind w:right="-5"/>
        <w:jc w:val="both"/>
      </w:pPr>
    </w:p>
    <w:p w:rsidR="00D03C0B" w:rsidRDefault="00D03C0B" w:rsidP="00D03C0B">
      <w:pPr>
        <w:spacing w:before="100" w:after="100"/>
        <w:ind w:right="-5"/>
        <w:jc w:val="both"/>
      </w:pPr>
    </w:p>
    <w:p w:rsidR="00C86718" w:rsidRDefault="005B42F7"/>
    <w:sectPr w:rsidR="00C86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2F7" w:rsidRDefault="005B42F7" w:rsidP="00D03C0B">
      <w:r>
        <w:separator/>
      </w:r>
    </w:p>
  </w:endnote>
  <w:endnote w:type="continuationSeparator" w:id="0">
    <w:p w:rsidR="005B42F7" w:rsidRDefault="005B42F7" w:rsidP="00D0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TE16B13B0t00">
    <w:altName w:val="MS Mincho"/>
    <w:panose1 w:val="00000000000000000000"/>
    <w:charset w:val="80"/>
    <w:family w:val="auto"/>
    <w:notTrueType/>
    <w:pitch w:val="default"/>
    <w:sig w:usb0="00000000" w:usb1="08070000" w:usb2="00000010" w:usb3="00000000" w:csb0="00020000" w:csb1="00000000"/>
  </w:font>
  <w:font w:name="TTE14B4620t00">
    <w:altName w:val="Times New Roman"/>
    <w:panose1 w:val="00000000000000000000"/>
    <w:charset w:val="00"/>
    <w:family w:val="auto"/>
    <w:notTrueType/>
    <w:pitch w:val="default"/>
    <w:sig w:usb0="00000003" w:usb1="00000000" w:usb2="00000000" w:usb3="00000000" w:csb0="00000001" w:csb1="00000000"/>
  </w:font>
  <w:font w:name="EUAlbertina">
    <w:altName w:val="Times New Roman"/>
    <w:charset w:val="00"/>
    <w:family w:val="auto"/>
    <w:pitch w:val="variable"/>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harterBT-Roman">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2F7" w:rsidRDefault="005B42F7" w:rsidP="00D03C0B">
      <w:r>
        <w:separator/>
      </w:r>
    </w:p>
  </w:footnote>
  <w:footnote w:type="continuationSeparator" w:id="0">
    <w:p w:rsidR="005B42F7" w:rsidRDefault="005B42F7" w:rsidP="00D03C0B">
      <w:r>
        <w:continuationSeparator/>
      </w:r>
    </w:p>
  </w:footnote>
  <w:footnote w:id="1">
    <w:p w:rsidR="009D38E6" w:rsidRDefault="009D38E6" w:rsidP="009D38E6">
      <w:pPr>
        <w:pStyle w:val="FootnoteText"/>
        <w:jc w:val="both"/>
      </w:pPr>
      <w:r>
        <w:rPr>
          <w:rStyle w:val="FootnoteCharacters"/>
        </w:rPr>
        <w:footnoteRef/>
      </w:r>
      <w:r>
        <w:tab/>
        <w:t xml:space="preserve">  Euroopa Majandus- ja Sotsiaalkomitee arvamus teemal "Komisjoni teatis Euroopa Parlamendile, nõukogule, Euroopa Majandus- ja Sotsiaalkomiteele ning Regioonide Komiteele "Lapse õigusi käsitlev ELi tegevuskava" 2012/C 43/08. Arvutivõrgus kättesaadav: </w:t>
      </w:r>
      <w:hyperlink r:id="rId1" w:history="1">
        <w:r>
          <w:rPr>
            <w:rStyle w:val="Hyperlink"/>
          </w:rPr>
          <w:t>http://eurlex.europa.eu/LexUriServ/LexUriServ.do?uri=OJ:C:2012:043:0034:01:ET:HTML</w:t>
        </w:r>
      </w:hyperlink>
    </w:p>
  </w:footnote>
  <w:footnote w:id="2">
    <w:p w:rsidR="009D38E6" w:rsidRDefault="009D38E6" w:rsidP="009D38E6">
      <w:pPr>
        <w:pStyle w:val="FootnoteText"/>
        <w:jc w:val="both"/>
      </w:pPr>
      <w:r>
        <w:rPr>
          <w:rStyle w:val="FootnoteCharacters"/>
        </w:rPr>
        <w:footnoteRef/>
      </w:r>
      <w:r>
        <w:tab/>
        <w:t xml:space="preserve"> </w:t>
      </w:r>
      <w:r>
        <w:t xml:space="preserve">Heckman, J. (2004). The Productivity Argument for Investing in Young Children. Arvutivõrgus kättesaadav: </w:t>
      </w:r>
      <w:hyperlink r:id="rId2" w:history="1">
        <w:r>
          <w:rPr>
            <w:rStyle w:val="Hyperlink"/>
          </w:rPr>
          <w:t>http://jenni.uchicago.edu/Invest/FILES/dugger_2004-12-02_dvm.pdf</w:t>
        </w:r>
      </w:hyperlink>
      <w:r>
        <w:t xml:space="preserve"> </w:t>
      </w:r>
    </w:p>
  </w:footnote>
  <w:footnote w:id="3">
    <w:p w:rsidR="009D38E6" w:rsidRDefault="009D38E6" w:rsidP="009D38E6">
      <w:pPr>
        <w:pStyle w:val="FootnoteText"/>
        <w:jc w:val="both"/>
      </w:pPr>
      <w:r>
        <w:rPr>
          <w:rStyle w:val="FootnoteCharacters"/>
          <w:rFonts w:ascii="EUAlbertina" w:hAnsi="EUAlbertina"/>
        </w:rPr>
        <w:footnoteRef/>
      </w:r>
      <w:r>
        <w:tab/>
        <w:t xml:space="preserve">Saar, H. (2013) Lapse õigused. Inimõigused Eestis 2012. Inimõiguste Keskus. Arvutivõrgus kättesaadav: </w:t>
      </w:r>
      <w:hyperlink r:id="rId3" w:history="1">
        <w:r>
          <w:rPr>
            <w:rStyle w:val="Hyperlink"/>
          </w:rPr>
          <w:t>http://humanrights.ee/inimoiguste-aruanne-2/inimoigused-eestis-2012/lapse-oigused/</w:t>
        </w:r>
      </w:hyperlink>
      <w:r>
        <w:t xml:space="preserve"> </w:t>
      </w:r>
    </w:p>
  </w:footnote>
  <w:footnote w:id="4">
    <w:p w:rsidR="00D03C0B" w:rsidRDefault="00D03C0B" w:rsidP="00D03C0B">
      <w:pPr>
        <w:pStyle w:val="FootnoteText"/>
      </w:pPr>
      <w:r>
        <w:rPr>
          <w:rStyle w:val="FootnoteCharacters"/>
        </w:rPr>
        <w:footnoteRef/>
      </w:r>
      <w:r>
        <w:tab/>
        <w:t xml:space="preserve">Toots, A. (2013) </w:t>
      </w:r>
      <w:r>
        <w:rPr>
          <w:i/>
        </w:rPr>
        <w:t>Kokkuvõte: Eesti elukvaliteedi paradoksid</w:t>
      </w:r>
      <w:r>
        <w:t xml:space="preserve">. Eesti inimarengu aruanne 2012-2013. Eesti maailmas. Eesti Koostöö Kogu. Arvutivõrgus kättesaadav: </w:t>
      </w:r>
      <w:hyperlink r:id="rId4" w:history="1">
        <w:r>
          <w:rPr>
            <w:rStyle w:val="Hyperlink"/>
          </w:rPr>
          <w:t>http://www.kogu.ee/wp-content/uploads/2013/05/EIA20122013.pdf</w:t>
        </w:r>
      </w:hyperlink>
      <w:r>
        <w:t xml:space="preserve"> </w:t>
      </w:r>
    </w:p>
  </w:footnote>
  <w:footnote w:id="5">
    <w:p w:rsidR="00D03C0B" w:rsidRDefault="00D03C0B" w:rsidP="00D03C0B">
      <w:pPr>
        <w:pStyle w:val="FootnoteText"/>
        <w:ind w:left="0" w:firstLine="0"/>
        <w:jc w:val="both"/>
      </w:pPr>
      <w:r>
        <w:rPr>
          <w:rStyle w:val="FootnoteCharacters"/>
        </w:rPr>
        <w:footnoteRef/>
      </w:r>
      <w:r>
        <w:t xml:space="preserve">  </w:t>
      </w:r>
      <w:r>
        <w:t xml:space="preserve">Heidmets, M. (2013) </w:t>
      </w:r>
      <w:r>
        <w:rPr>
          <w:i/>
        </w:rPr>
        <w:t>Kokkuvõte</w:t>
      </w:r>
      <w:r>
        <w:t xml:space="preserve">. Eesti inimarengu aruanne 2012-2013. Eesti maailmas. Eesti Koostöö Kogu.   Arvutivõrgus kättesaadav: </w:t>
      </w:r>
      <w:hyperlink r:id="rId5" w:history="1">
        <w:r>
          <w:rPr>
            <w:rStyle w:val="Hyperlink"/>
          </w:rPr>
          <w:t>http://www.kogu.ee/wp-content/uploads/2013/05/EIA20122013.pdf</w:t>
        </w:r>
      </w:hyperlink>
      <w:r>
        <w:t xml:space="preserve"> </w:t>
      </w:r>
    </w:p>
  </w:footnote>
  <w:footnote w:id="6">
    <w:p w:rsidR="00D03C0B" w:rsidRDefault="00D03C0B" w:rsidP="00D03C0B">
      <w:pPr>
        <w:pStyle w:val="FootnoteText"/>
      </w:pPr>
      <w:r>
        <w:rPr>
          <w:rStyle w:val="FootnoteCharacters"/>
        </w:rPr>
        <w:footnoteRef/>
      </w:r>
      <w:r>
        <w:tab/>
        <w:t xml:space="preserve"> Rahvaloenduse tulemused. Statistikaamet 2012. Arvutivõrgus kättesaadav: </w:t>
      </w:r>
      <w:hyperlink r:id="rId6" w:history="1">
        <w:r>
          <w:rPr>
            <w:rStyle w:val="Hyperlink"/>
          </w:rPr>
          <w:t>http://www.stat.ee/63779</w:t>
        </w:r>
      </w:hyperlink>
      <w:r>
        <w:t xml:space="preserve"> </w:t>
      </w:r>
    </w:p>
  </w:footnote>
  <w:footnote w:id="7">
    <w:p w:rsidR="00D03C0B" w:rsidRDefault="00D03C0B" w:rsidP="00D03C0B">
      <w:pPr>
        <w:pStyle w:val="FootnoteText"/>
        <w:jc w:val="both"/>
      </w:pPr>
      <w:r>
        <w:rPr>
          <w:rStyle w:val="FootnoteCharacters"/>
        </w:rPr>
        <w:footnoteRef/>
      </w:r>
      <w:r>
        <w:tab/>
        <w:t xml:space="preserve">Laes, T.-L. (2013) </w:t>
      </w:r>
      <w:hyperlink r:id="rId7" w:history="1">
        <w:r>
          <w:rPr>
            <w:rStyle w:val="Hyperlink"/>
          </w:rPr>
          <w:t>Laste vaesus kohalikes omavalitsustes</w:t>
        </w:r>
      </w:hyperlink>
      <w:r>
        <w:t xml:space="preserve">. Statistikablogi. Arvutivõrgus kättesaadav: </w:t>
      </w:r>
      <w:hyperlink r:id="rId8" w:history="1">
        <w:r>
          <w:rPr>
            <w:rStyle w:val="Hyperlink"/>
          </w:rPr>
          <w:t>https://statistikaamet.wordpress.com/category/sotsiaalstatistika/</w:t>
        </w:r>
      </w:hyperlink>
      <w:r>
        <w:t xml:space="preserve"> </w:t>
      </w:r>
    </w:p>
  </w:footnote>
  <w:footnote w:id="8">
    <w:p w:rsidR="00D03C0B" w:rsidRDefault="00D03C0B" w:rsidP="00D03C0B">
      <w:pPr>
        <w:pStyle w:val="FootnoteText"/>
        <w:jc w:val="both"/>
      </w:pPr>
      <w:r>
        <w:rPr>
          <w:rStyle w:val="FootnoteCharacters"/>
        </w:rPr>
        <w:footnoteRef/>
      </w:r>
      <w:r w:rsidR="0015395D">
        <w:rPr>
          <w:rFonts w:cs="Times New Roman"/>
        </w:rPr>
        <w:t xml:space="preserve"> </w:t>
      </w:r>
      <w:r>
        <w:rPr>
          <w:rFonts w:cs="Times New Roman"/>
        </w:rPr>
        <w:t xml:space="preserve">Laes, T.-L. (2012) </w:t>
      </w:r>
      <w:r>
        <w:rPr>
          <w:rFonts w:cs="Times New Roman"/>
          <w:color w:val="222222"/>
        </w:rPr>
        <w:t xml:space="preserve"> </w:t>
      </w:r>
      <w:r>
        <w:rPr>
          <w:rFonts w:eastAsia="Times New Roman" w:cs="Times New Roman"/>
          <w:lang w:eastAsia="ar-SA" w:bidi="ar-SA"/>
        </w:rPr>
        <w:t xml:space="preserve">Vaeste perede laste ja noorte huvihariduses osalemine. Statistikaameti kogumik. </w:t>
      </w:r>
      <w:r w:rsidR="0015395D">
        <w:rPr>
          <w:rFonts w:cs="Times New Roman"/>
          <w:color w:val="222222"/>
        </w:rPr>
        <w:t xml:space="preserve">Eesti </w:t>
      </w:r>
      <w:r>
        <w:rPr>
          <w:rFonts w:cs="Times New Roman"/>
          <w:color w:val="222222"/>
        </w:rPr>
        <w:t>piirkondlik areng 2012.</w:t>
      </w:r>
    </w:p>
  </w:footnote>
  <w:footnote w:id="9">
    <w:p w:rsidR="00D03C0B" w:rsidRDefault="00D03C0B" w:rsidP="00D03C0B">
      <w:r>
        <w:rPr>
          <w:rStyle w:val="FootnoteCharacters"/>
        </w:rPr>
        <w:footnoteRef/>
      </w:r>
      <w:r>
        <w:t xml:space="preserve"> </w:t>
      </w:r>
      <w:r w:rsidRPr="0021387C">
        <w:rPr>
          <w:rStyle w:val="Hyperlink"/>
          <w:rFonts w:cs="Times New Roman"/>
          <w:color w:val="000000"/>
          <w:sz w:val="20"/>
          <w:szCs w:val="20"/>
          <w:u w:val="none"/>
        </w:rPr>
        <w:t xml:space="preserve">Põder, K., Lauri, T. (2013) Kui avalik sektor käitub nagu erasektor: Tallinna koolivaliku kihistav mõju. Riigikogu toimetised 28, 2013. Arvutivõrgus kättesaadav: </w:t>
      </w:r>
      <w:hyperlink r:id="rId9" w:history="1">
        <w:r>
          <w:rPr>
            <w:rStyle w:val="Hyperlink"/>
            <w:rFonts w:cs="Times New Roman"/>
            <w:sz w:val="20"/>
            <w:szCs w:val="20"/>
          </w:rPr>
          <w:t>http://www.riigikogu.ee/rito/index.php?id=16392</w:t>
        </w:r>
      </w:hyperlink>
      <w:r>
        <w:rPr>
          <w:rStyle w:val="Hyperlink"/>
          <w:rFonts w:cs="Times New Roman"/>
          <w:color w:val="000000"/>
          <w:sz w:val="20"/>
          <w:szCs w:val="20"/>
        </w:rPr>
        <w:t xml:space="preserve"> </w:t>
      </w:r>
    </w:p>
  </w:footnote>
  <w:footnote w:id="10">
    <w:p w:rsidR="00D03C0B" w:rsidRDefault="00D03C0B" w:rsidP="00D03C0B">
      <w:pPr>
        <w:jc w:val="both"/>
      </w:pPr>
      <w:r>
        <w:rPr>
          <w:rStyle w:val="FootnoteCharacters"/>
        </w:rPr>
        <w:footnoteRef/>
      </w:r>
      <w:r>
        <w:rPr>
          <w:rStyle w:val="Hyperlink"/>
          <w:rFonts w:cs="Times New Roman"/>
          <w:color w:val="000000"/>
          <w:sz w:val="20"/>
          <w:szCs w:val="20"/>
        </w:rPr>
        <w:t xml:space="preserve"> </w:t>
      </w:r>
      <w:r w:rsidRPr="0021387C">
        <w:rPr>
          <w:rStyle w:val="Hyperlink"/>
          <w:rFonts w:cs="Times New Roman"/>
          <w:color w:val="000000"/>
          <w:sz w:val="20"/>
          <w:szCs w:val="20"/>
          <w:u w:val="none"/>
        </w:rPr>
        <w:t xml:space="preserve">Lindemann, K. </w:t>
      </w:r>
      <w:r w:rsidRPr="0021387C">
        <w:rPr>
          <w:rStyle w:val="Hyperlink"/>
          <w:rFonts w:cs="Times New Roman"/>
          <w:color w:val="000000"/>
          <w:sz w:val="20"/>
          <w:szCs w:val="20"/>
          <w:u w:val="none"/>
        </w:rPr>
        <w:t>(2013) Structural integration of young Russian-speakers in post-Soviet contexts: educational attainment and transition to the labour market (Venekeelsete noorte struktuurne integratsioon postsovetlikes kontekstides: hariduse omandamine ja tööturule sisenemine). Doktoritöö. Tallinna Ülikool. Arvutivõrgus kättesaadav</w:t>
      </w:r>
      <w:r>
        <w:rPr>
          <w:rStyle w:val="Hyperlink"/>
          <w:rFonts w:cs="Times New Roman"/>
          <w:color w:val="000000"/>
          <w:sz w:val="20"/>
          <w:szCs w:val="20"/>
        </w:rPr>
        <w:t xml:space="preserve">: </w:t>
      </w:r>
      <w:hyperlink r:id="rId10" w:history="1">
        <w:r>
          <w:rPr>
            <w:rStyle w:val="Hyperlink"/>
            <w:sz w:val="20"/>
            <w:szCs w:val="20"/>
          </w:rPr>
          <w:t>http://e-ait.tlulib.ee/335/1/lindemann_kristina_2.pdf</w:t>
        </w:r>
      </w:hyperlink>
      <w:r>
        <w:t xml:space="preserve"> </w:t>
      </w:r>
    </w:p>
  </w:footnote>
  <w:footnote w:id="11">
    <w:p w:rsidR="00D03C0B" w:rsidRDefault="00D03C0B" w:rsidP="00D03C0B">
      <w:pPr>
        <w:pStyle w:val="FootnoteText"/>
        <w:jc w:val="both"/>
      </w:pPr>
      <w:r>
        <w:rPr>
          <w:rStyle w:val="FootnoteCharacters"/>
        </w:rPr>
        <w:footnoteRef/>
      </w:r>
      <w:r>
        <w:tab/>
        <w:t xml:space="preserve">MTÜ Lastekaitse Liit (2013) Uuring „Lapse heaolu hindamine“. Arvutivõrgus kättesaadav: </w:t>
      </w:r>
      <w:hyperlink r:id="rId11" w:history="1">
        <w:r>
          <w:rPr>
            <w:rStyle w:val="Hyperlink"/>
          </w:rPr>
          <w:t>http://www.lastekaitseliit.ee/wp-content/uploads/2011/04/Uuring-Lapse-heaolu-hindamine.pdf</w:t>
        </w:r>
      </w:hyperlink>
      <w:r>
        <w:t xml:space="preserve">  </w:t>
      </w:r>
    </w:p>
  </w:footnote>
  <w:footnote w:id="12">
    <w:p w:rsidR="00D03C0B" w:rsidRDefault="00D03C0B" w:rsidP="00D03C0B">
      <w:pPr>
        <w:pStyle w:val="FootnoteText"/>
        <w:jc w:val="both"/>
      </w:pPr>
      <w:r>
        <w:rPr>
          <w:rStyle w:val="FootnoteCharacters"/>
        </w:rPr>
        <w:footnoteRef/>
      </w:r>
      <w:r>
        <w:rPr>
          <w:bCs/>
        </w:rPr>
        <w:tab/>
        <w:t xml:space="preserve">ÜRO Lapse õiguste konventsioon. Arvutivõrgus kättesaadav: </w:t>
      </w:r>
      <w:hyperlink r:id="rId12" w:history="1">
        <w:r>
          <w:rPr>
            <w:rStyle w:val="Hyperlink"/>
          </w:rPr>
          <w:t>https://www.riigiteataja.ee/akt/24016</w:t>
        </w:r>
      </w:hyperlink>
    </w:p>
  </w:footnote>
  <w:footnote w:id="13">
    <w:p w:rsidR="00D03C0B" w:rsidRDefault="00D03C0B" w:rsidP="00D03C0B">
      <w:pPr>
        <w:widowControl/>
        <w:suppressAutoHyphens w:val="0"/>
        <w:jc w:val="both"/>
      </w:pPr>
      <w:r>
        <w:rPr>
          <w:rStyle w:val="FootnoteCharacters"/>
        </w:rPr>
        <w:footnoteRef/>
      </w:r>
      <w:r>
        <w:rPr>
          <w:sz w:val="20"/>
          <w:szCs w:val="20"/>
        </w:rPr>
        <w:t xml:space="preserve"> </w:t>
      </w:r>
      <w:r>
        <w:rPr>
          <w:sz w:val="20"/>
          <w:szCs w:val="20"/>
        </w:rPr>
        <w:t xml:space="preserve">Reinomägi, A., Sinisaar, H., Toros, K., Kutsar, D. (2013) </w:t>
      </w:r>
      <w:r>
        <w:rPr>
          <w:i/>
          <w:iCs/>
          <w:sz w:val="20"/>
          <w:szCs w:val="20"/>
        </w:rPr>
        <w:t>Sissejuhatus: lapse õigused ja heaolu</w:t>
      </w:r>
      <w:r>
        <w:rPr>
          <w:sz w:val="20"/>
          <w:szCs w:val="20"/>
        </w:rPr>
        <w:t>. Statistikaameti kogumik: Laste heaolu. Tallinn</w:t>
      </w:r>
    </w:p>
  </w:footnote>
  <w:footnote w:id="14">
    <w:p w:rsidR="00D03C0B" w:rsidRDefault="00D03C0B" w:rsidP="00D03C0B">
      <w:pPr>
        <w:pStyle w:val="FootnoteText"/>
        <w:ind w:left="0" w:firstLine="0"/>
        <w:jc w:val="both"/>
      </w:pPr>
      <w:r>
        <w:rPr>
          <w:rStyle w:val="FootnoteCharacters"/>
        </w:rPr>
        <w:footnoteRef/>
      </w:r>
      <w:r>
        <w:rPr>
          <w:bCs/>
        </w:rPr>
        <w:t xml:space="preserve"> ÜRO Lapse õiguste konventsioon. Arvutivõrgus kättesaadav: </w:t>
      </w:r>
      <w:hyperlink r:id="rId13" w:history="1">
        <w:r>
          <w:rPr>
            <w:rStyle w:val="Hyperlink"/>
          </w:rPr>
          <w:t>https://www.riigiteataja.ee/akt/24016</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0B"/>
    <w:rsid w:val="000F5CDA"/>
    <w:rsid w:val="0015395D"/>
    <w:rsid w:val="001A3451"/>
    <w:rsid w:val="001E2A61"/>
    <w:rsid w:val="0021387C"/>
    <w:rsid w:val="004B7F41"/>
    <w:rsid w:val="00537C3F"/>
    <w:rsid w:val="00573715"/>
    <w:rsid w:val="005B42F7"/>
    <w:rsid w:val="009D38E6"/>
    <w:rsid w:val="00D03C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367DA-10B5-4991-A169-C1609FD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C0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D03C0B"/>
    <w:rPr>
      <w:vertAlign w:val="superscript"/>
    </w:rPr>
  </w:style>
  <w:style w:type="character" w:styleId="Hyperlink">
    <w:name w:val="Hyperlink"/>
    <w:rsid w:val="00D03C0B"/>
    <w:rPr>
      <w:color w:val="0000FF"/>
      <w:u w:val="singl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e"/>
    <w:rsid w:val="00D03C0B"/>
    <w:rPr>
      <w:vertAlign w:val="superscript"/>
    </w:rPr>
  </w:style>
  <w:style w:type="character" w:customStyle="1" w:styleId="WW-FootnoteReference">
    <w:name w:val="WW-Footnote Reference"/>
    <w:rsid w:val="00D03C0B"/>
    <w:rPr>
      <w:vertAlign w:val="superscript"/>
    </w:rPr>
  </w:style>
  <w:style w:type="character" w:styleId="Strong">
    <w:name w:val="Strong"/>
    <w:qFormat/>
    <w:rsid w:val="00D03C0B"/>
    <w:rPr>
      <w:b/>
      <w:bCs/>
    </w:rPr>
  </w:style>
  <w:style w:type="character" w:customStyle="1" w:styleId="WW-FootnoteReference12">
    <w:name w:val="WW-Footnote Reference12"/>
    <w:rsid w:val="00D03C0B"/>
    <w:rPr>
      <w:vertAlign w:val="superscript"/>
    </w:rPr>
  </w:style>
  <w:style w:type="paragraph" w:styleId="FootnoteText">
    <w:name w:val="footnote text"/>
    <w:aliases w:val="Footnote,Footnote Text Char Char Char Char,Footnote Text Char Char,Footnote Text Char Char Char Char Char,Footnote Text Char Char Char Char Char Char Char Char,Footnote Text Char Char Char,Footnote Text Char1,Footnote Text Char Char1,fn"/>
    <w:basedOn w:val="Normal"/>
    <w:link w:val="FootnoteTextChar"/>
    <w:uiPriority w:val="99"/>
    <w:qFormat/>
    <w:rsid w:val="00D03C0B"/>
    <w:pPr>
      <w:suppressLineNumbers/>
      <w:ind w:left="283" w:hanging="283"/>
    </w:pPr>
    <w:rPr>
      <w:sz w:val="20"/>
      <w:szCs w:val="20"/>
    </w:rPr>
  </w:style>
  <w:style w:type="character" w:customStyle="1" w:styleId="FootnoteTextChar">
    <w:name w:val="Footnote Text Char"/>
    <w:aliases w:val="Footnote Char,Footnote Text Char Char Char Char Char1,Footnote Text Char Char Char1,Footnote Text Char Char Char Char Char Char,Footnote Text Char Char Char Char Char Char Char Char Char,Footnote Text Char Char Char Char1,fn Char"/>
    <w:basedOn w:val="DefaultParagraphFont"/>
    <w:link w:val="FootnoteText"/>
    <w:uiPriority w:val="99"/>
    <w:rsid w:val="00D03C0B"/>
    <w:rPr>
      <w:rFonts w:ascii="Times New Roman" w:eastAsia="SimSun" w:hAnsi="Times New Roman" w:cs="Mangal"/>
      <w:kern w:val="1"/>
      <w:sz w:val="20"/>
      <w:szCs w:val="20"/>
      <w:lang w:eastAsia="hi-IN" w:bidi="hi-IN"/>
    </w:rPr>
  </w:style>
  <w:style w:type="paragraph" w:customStyle="1" w:styleId="Default">
    <w:name w:val="Default"/>
    <w:rsid w:val="009D38E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1387C"/>
    <w:rPr>
      <w:rFonts w:ascii="Segoe UI" w:hAnsi="Segoe UI"/>
      <w:sz w:val="18"/>
      <w:szCs w:val="16"/>
    </w:rPr>
  </w:style>
  <w:style w:type="character" w:customStyle="1" w:styleId="BalloonTextChar">
    <w:name w:val="Balloon Text Char"/>
    <w:basedOn w:val="DefaultParagraphFont"/>
    <w:link w:val="BalloonText"/>
    <w:uiPriority w:val="99"/>
    <w:semiHidden/>
    <w:rsid w:val="0021387C"/>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statistikaamet.wordpress.com/category/sotsiaalstatistika/" TargetMode="External"/><Relationship Id="rId13" Type="http://schemas.openxmlformats.org/officeDocument/2006/relationships/hyperlink" Target="https://www.riigiteataja.ee/akt/24016" TargetMode="External"/><Relationship Id="rId3" Type="http://schemas.openxmlformats.org/officeDocument/2006/relationships/hyperlink" Target="http://humanrights.ee/inimoiguste-aruanne-2/inimoigused-eestis-2012/lapse-oigused/" TargetMode="External"/><Relationship Id="rId7" Type="http://schemas.openxmlformats.org/officeDocument/2006/relationships/hyperlink" Target="https://statistikaamet.wordpress.com/2014/01/29/laste-vaesus-kohalikes-omavalitsustes/" TargetMode="External"/><Relationship Id="rId12" Type="http://schemas.openxmlformats.org/officeDocument/2006/relationships/hyperlink" Target="https://www.riigiteataja.ee/akt/24016" TargetMode="External"/><Relationship Id="rId2" Type="http://schemas.openxmlformats.org/officeDocument/2006/relationships/hyperlink" Target="http://jenni.uchicago.edu/Invest/FILES/dugger_2004-12-02_dvm.pdf" TargetMode="External"/><Relationship Id="rId1" Type="http://schemas.openxmlformats.org/officeDocument/2006/relationships/hyperlink" Target="http://eurlex.europa.eu/LexUriServ/LexUriServ.do?uri=OJ:C:2012:043:0034:01:ET:HTML" TargetMode="External"/><Relationship Id="rId6" Type="http://schemas.openxmlformats.org/officeDocument/2006/relationships/hyperlink" Target="http://www.stat.ee/63779" TargetMode="External"/><Relationship Id="rId11" Type="http://schemas.openxmlformats.org/officeDocument/2006/relationships/hyperlink" Target="http://www.lastekaitseliit.ee/wp-content/uploads/2011/04/Uuring-Lapse-heaolu-hindamine.pdf" TargetMode="External"/><Relationship Id="rId5" Type="http://schemas.openxmlformats.org/officeDocument/2006/relationships/hyperlink" Target="http://www.kogu.ee/wp-content/uploads/2013/05/EIA20122013.pdf" TargetMode="External"/><Relationship Id="rId10" Type="http://schemas.openxmlformats.org/officeDocument/2006/relationships/hyperlink" Target="http://e-ait.tlulib.ee/335/1/lindemann_kristina_2.pdf" TargetMode="External"/><Relationship Id="rId4" Type="http://schemas.openxmlformats.org/officeDocument/2006/relationships/hyperlink" Target="http://www.kogu.ee/wp-content/uploads/2013/05/EIA20122013.pdf" TargetMode="External"/><Relationship Id="rId9" Type="http://schemas.openxmlformats.org/officeDocument/2006/relationships/hyperlink" Target="http://www.riigikogu.ee/rito/index.php?id=16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helika saar</dc:creator>
  <cp:keywords/>
  <dc:description/>
  <cp:lastModifiedBy>Martin</cp:lastModifiedBy>
  <cp:revision>3</cp:revision>
  <cp:lastPrinted>2015-11-30T13:10:00Z</cp:lastPrinted>
  <dcterms:created xsi:type="dcterms:W3CDTF">2015-11-30T15:09:00Z</dcterms:created>
  <dcterms:modified xsi:type="dcterms:W3CDTF">2015-12-01T08:12:00Z</dcterms:modified>
</cp:coreProperties>
</file>